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C5D6C8" w14:textId="77777777" w:rsidR="006F5909" w:rsidRPr="006F5909" w:rsidRDefault="006F5909" w:rsidP="006F5909">
      <w:pPr>
        <w:keepNext/>
        <w:keepLines/>
        <w:suppressAutoHyphens/>
        <w:spacing w:after="0" w:line="225" w:lineRule="exact"/>
        <w:jc w:val="center"/>
        <w:outlineLvl w:val="2"/>
        <w:rPr>
          <w:rFonts w:ascii="Bembo Std" w:eastAsia="Times New Roman" w:hAnsi="Bembo Std" w:cs="Arial"/>
          <w:b/>
          <w:kern w:val="8"/>
          <w:sz w:val="20"/>
          <w:szCs w:val="17"/>
        </w:rPr>
      </w:pPr>
      <w:r w:rsidRPr="006F5909">
        <w:rPr>
          <w:rFonts w:ascii="Bembo Std" w:eastAsia="Times New Roman" w:hAnsi="Bembo Std" w:cs="Arial"/>
          <w:b/>
          <w:kern w:val="8"/>
          <w:sz w:val="20"/>
          <w:szCs w:val="17"/>
        </w:rPr>
        <w:t>Satzung einer Sparschwein-GmbH</w:t>
      </w:r>
    </w:p>
    <w:p w14:paraId="2FC5D6C9" w14:textId="77777777" w:rsidR="006F5909" w:rsidRPr="006F5909" w:rsidRDefault="006F5909" w:rsidP="006F5909">
      <w:pPr>
        <w:spacing w:after="0" w:line="106" w:lineRule="exact"/>
        <w:ind w:firstLine="193"/>
        <w:jc w:val="both"/>
        <w:rPr>
          <w:rFonts w:ascii="Bembo Std" w:eastAsia="Times New Roman" w:hAnsi="Bembo Std" w:cs="Times New Roman"/>
          <w:kern w:val="8"/>
          <w:sz w:val="19"/>
          <w:szCs w:val="20"/>
        </w:rPr>
      </w:pPr>
    </w:p>
    <w:p w14:paraId="2FC5D6CA" w14:textId="77777777" w:rsidR="006F5909" w:rsidRPr="006F5909" w:rsidRDefault="006F5909" w:rsidP="006F5909">
      <w:pPr>
        <w:spacing w:after="85" w:line="106" w:lineRule="exact"/>
        <w:ind w:firstLine="193"/>
        <w:jc w:val="both"/>
        <w:rPr>
          <w:rFonts w:ascii="Bembo Std" w:eastAsia="Times New Roman" w:hAnsi="Bembo Std" w:cs="Times New Roman"/>
          <w:kern w:val="8"/>
          <w:sz w:val="19"/>
          <w:szCs w:val="20"/>
        </w:rPr>
      </w:pPr>
    </w:p>
    <w:p w14:paraId="2FC5D6CB" w14:textId="77777777" w:rsidR="006F5909" w:rsidRPr="006F5909" w:rsidRDefault="006F5909" w:rsidP="006F5909">
      <w:pPr>
        <w:spacing w:after="0" w:line="192" w:lineRule="exact"/>
        <w:jc w:val="both"/>
        <w:rPr>
          <w:rFonts w:ascii="Bembo Std" w:eastAsia="Times New Roman" w:hAnsi="Bembo Std" w:cs="Times New Roman"/>
          <w:b/>
          <w:kern w:val="8"/>
          <w:sz w:val="17"/>
          <w:szCs w:val="16"/>
        </w:rPr>
      </w:pPr>
      <w:r w:rsidRPr="006F5909">
        <w:rPr>
          <w:rFonts w:ascii="Bembo Std" w:eastAsia="Times New Roman" w:hAnsi="Bembo Std" w:cs="Times New Roman"/>
          <w:b/>
          <w:kern w:val="8"/>
          <w:sz w:val="17"/>
          <w:szCs w:val="16"/>
        </w:rPr>
        <w:t>§ 1 Firma, Sitz</w:t>
      </w:r>
    </w:p>
    <w:p w14:paraId="2FC5D6CC" w14:textId="2C4AC31C" w:rsidR="006F5909" w:rsidRPr="006F5909" w:rsidRDefault="006F5909" w:rsidP="006F5909">
      <w:pPr>
        <w:tabs>
          <w:tab w:val="right" w:pos="120"/>
        </w:tabs>
        <w:spacing w:after="0" w:line="192" w:lineRule="exact"/>
        <w:ind w:left="177" w:hanging="177"/>
        <w:jc w:val="both"/>
        <w:rPr>
          <w:rFonts w:ascii="Bembo Std" w:eastAsia="Times New Roman" w:hAnsi="Bembo Std" w:cs="Times New Roman"/>
          <w:kern w:val="8"/>
          <w:sz w:val="17"/>
          <w:szCs w:val="16"/>
        </w:rPr>
      </w:pPr>
      <w:r w:rsidRPr="006F5909">
        <w:rPr>
          <w:rFonts w:ascii="Bembo Std" w:eastAsia="Times New Roman" w:hAnsi="Bembo Std" w:cs="Times New Roman"/>
          <w:kern w:val="8"/>
          <w:sz w:val="17"/>
          <w:szCs w:val="16"/>
        </w:rPr>
        <w:tab/>
        <w:t>1.</w:t>
      </w:r>
      <w:r w:rsidRPr="006F5909">
        <w:rPr>
          <w:rFonts w:ascii="Bembo Std" w:eastAsia="Times New Roman" w:hAnsi="Bembo Std" w:cs="Times New Roman"/>
          <w:kern w:val="8"/>
          <w:sz w:val="17"/>
          <w:szCs w:val="16"/>
        </w:rPr>
        <w:tab/>
        <w:t>Die Firma der Gesellschaft lautet:</w:t>
      </w:r>
      <w:r w:rsidR="00E27911">
        <w:rPr>
          <w:rFonts w:ascii="Bembo Std" w:eastAsia="Times New Roman" w:hAnsi="Bembo Std" w:cs="Times New Roman"/>
          <w:kern w:val="8"/>
          <w:sz w:val="17"/>
          <w:szCs w:val="16"/>
        </w:rPr>
        <w:t xml:space="preserve"> (…)</w:t>
      </w:r>
    </w:p>
    <w:p w14:paraId="2FC5D6CD" w14:textId="77777777" w:rsidR="006F5909" w:rsidRPr="006F5909" w:rsidRDefault="006F5909" w:rsidP="006F5909">
      <w:pPr>
        <w:tabs>
          <w:tab w:val="right" w:pos="120"/>
        </w:tabs>
        <w:spacing w:after="43" w:line="192" w:lineRule="exact"/>
        <w:ind w:left="177" w:hanging="177"/>
        <w:jc w:val="both"/>
        <w:rPr>
          <w:rFonts w:ascii="Bembo Std" w:eastAsia="Times New Roman" w:hAnsi="Bembo Std" w:cs="Times New Roman"/>
          <w:kern w:val="8"/>
          <w:sz w:val="17"/>
          <w:szCs w:val="16"/>
        </w:rPr>
      </w:pPr>
      <w:r w:rsidRPr="006F5909">
        <w:rPr>
          <w:rFonts w:ascii="Bembo Std" w:eastAsia="Times New Roman" w:hAnsi="Bembo Std" w:cs="Times New Roman"/>
          <w:kern w:val="8"/>
          <w:sz w:val="17"/>
          <w:szCs w:val="16"/>
        </w:rPr>
        <w:tab/>
        <w:t>2.</w:t>
      </w:r>
      <w:r w:rsidRPr="006F5909">
        <w:rPr>
          <w:rFonts w:ascii="Bembo Std" w:eastAsia="Times New Roman" w:hAnsi="Bembo Std" w:cs="Times New Roman"/>
          <w:kern w:val="8"/>
          <w:sz w:val="17"/>
          <w:szCs w:val="16"/>
        </w:rPr>
        <w:tab/>
        <w:t>Sitz der Gesellschaft ist (…); der Verwaltungssitz ist ebendort.</w:t>
      </w:r>
    </w:p>
    <w:p w14:paraId="060CCD7C" w14:textId="77777777" w:rsidR="00E27911" w:rsidRDefault="00E27911" w:rsidP="00E27911">
      <w:pPr>
        <w:pStyle w:val="Kleindruck"/>
        <w:spacing w:after="64"/>
        <w:ind w:firstLine="0"/>
        <w:rPr>
          <w:b/>
        </w:rPr>
      </w:pPr>
      <w:r>
        <w:rPr>
          <w:b/>
        </w:rPr>
        <w:t>§ 2 Gegenstand des Unternehmens</w:t>
      </w:r>
    </w:p>
    <w:p w14:paraId="3433B503" w14:textId="77777777" w:rsidR="00E27911" w:rsidRDefault="00E27911" w:rsidP="00E27911">
      <w:pPr>
        <w:pStyle w:val="Kleindruck"/>
      </w:pPr>
      <w:r>
        <w:t>Gegenstand des Unternehmens ist die Verwaltung eigenen Vermögens. Die Gesellschaft ist befugt, alle Geschäfte zu betreiben.</w:t>
      </w:r>
    </w:p>
    <w:p w14:paraId="3EB3F8F3" w14:textId="77777777" w:rsidR="00E27911" w:rsidRDefault="00E27911" w:rsidP="00E27911">
      <w:pPr>
        <w:pStyle w:val="HalbeLeerzeile"/>
        <w:spacing w:after="43"/>
      </w:pPr>
    </w:p>
    <w:p w14:paraId="19625959" w14:textId="77777777" w:rsidR="00E27911" w:rsidRDefault="00E27911" w:rsidP="00E27911">
      <w:pPr>
        <w:pStyle w:val="Kleindruck"/>
        <w:ind w:firstLine="0"/>
        <w:rPr>
          <w:b/>
        </w:rPr>
      </w:pPr>
      <w:r>
        <w:rPr>
          <w:b/>
        </w:rPr>
        <w:t>§ 3 Geschäftsjahr</w:t>
      </w:r>
    </w:p>
    <w:p w14:paraId="6D0A615A" w14:textId="77777777" w:rsidR="00E27911" w:rsidRDefault="00E27911" w:rsidP="00E27911">
      <w:pPr>
        <w:pStyle w:val="Kleindruck"/>
      </w:pPr>
      <w:r>
        <w:t>Geschäftsjahr ist das Kalenderjahr. Die Gesellschaft beginnt mit der Eintragung in das Handelsregister.</w:t>
      </w:r>
    </w:p>
    <w:p w14:paraId="4245B879" w14:textId="77777777" w:rsidR="00E27911" w:rsidRDefault="00E27911" w:rsidP="00E27911">
      <w:pPr>
        <w:pStyle w:val="HalbeLeerzeile"/>
        <w:spacing w:after="43"/>
      </w:pPr>
    </w:p>
    <w:p w14:paraId="07C2E0B0" w14:textId="77777777" w:rsidR="00E27911" w:rsidRDefault="00E27911" w:rsidP="00E27911">
      <w:pPr>
        <w:pStyle w:val="Kleindruck"/>
        <w:ind w:firstLine="0"/>
        <w:rPr>
          <w:b/>
        </w:rPr>
      </w:pPr>
      <w:r>
        <w:rPr>
          <w:b/>
        </w:rPr>
        <w:t>§ 4 Stammkapital</w:t>
      </w:r>
    </w:p>
    <w:p w14:paraId="5A327489" w14:textId="77777777" w:rsidR="00E27911" w:rsidRDefault="00E27911" w:rsidP="00E27911">
      <w:pPr>
        <w:pStyle w:val="Kleindruck"/>
        <w:tabs>
          <w:tab w:val="right" w:pos="120"/>
        </w:tabs>
        <w:ind w:left="177" w:hanging="177"/>
      </w:pPr>
      <w:r>
        <w:tab/>
        <w:t>1.</w:t>
      </w:r>
      <w:r>
        <w:tab/>
        <w:t>Das Stammkapital der Gesellschaft beträgt (…)</w:t>
      </w:r>
    </w:p>
    <w:p w14:paraId="5CAD993D" w14:textId="77777777" w:rsidR="00E27911" w:rsidRDefault="00E27911" w:rsidP="00E27911">
      <w:pPr>
        <w:pStyle w:val="Kleindruck"/>
        <w:tabs>
          <w:tab w:val="right" w:pos="120"/>
        </w:tabs>
        <w:ind w:left="177" w:hanging="177"/>
      </w:pPr>
      <w:r>
        <w:tab/>
        <w:t>2.</w:t>
      </w:r>
      <w:r>
        <w:tab/>
        <w:t>Vom Stammkapital übernehmen</w:t>
      </w:r>
    </w:p>
    <w:p w14:paraId="0ADCA177" w14:textId="77777777" w:rsidR="00E27911" w:rsidRDefault="00E27911" w:rsidP="00E27911">
      <w:pPr>
        <w:pStyle w:val="Kleindruck"/>
        <w:tabs>
          <w:tab w:val="right" w:pos="317"/>
        </w:tabs>
        <w:ind w:left="374" w:hanging="374"/>
      </w:pPr>
      <w:r>
        <w:tab/>
        <w:t>a)</w:t>
      </w:r>
      <w:r>
        <w:tab/>
        <w:t>(…) (Anteil Nr. 1)</w:t>
      </w:r>
    </w:p>
    <w:p w14:paraId="4D2AFFB6" w14:textId="77777777" w:rsidR="00E27911" w:rsidRDefault="00E27911" w:rsidP="00E27911">
      <w:pPr>
        <w:pStyle w:val="Kleindruck"/>
        <w:tabs>
          <w:tab w:val="right" w:pos="317"/>
        </w:tabs>
        <w:ind w:left="374" w:hanging="374"/>
      </w:pPr>
      <w:r>
        <w:tab/>
        <w:t>b)</w:t>
      </w:r>
      <w:r>
        <w:tab/>
        <w:t>(…) (Anteil Nr. 2)</w:t>
      </w:r>
    </w:p>
    <w:p w14:paraId="05A0CCC7" w14:textId="77777777" w:rsidR="00E27911" w:rsidRDefault="00E27911" w:rsidP="00E27911">
      <w:pPr>
        <w:pStyle w:val="Kleindruck"/>
        <w:tabs>
          <w:tab w:val="right" w:pos="120"/>
        </w:tabs>
        <w:ind w:left="177" w:hanging="177"/>
      </w:pPr>
      <w:r>
        <w:tab/>
        <w:t>3.</w:t>
      </w:r>
      <w:r>
        <w:tab/>
        <w:t>Die Stammeinlagen sind sofort zur Hälfte in bar zu erbringen. Die Einzahlung des Restbetrags erfolgt nach Aufforderung durch die Geschäftsführung, ohne weiteren Gesellschafterbeschluss.</w:t>
      </w:r>
    </w:p>
    <w:p w14:paraId="04DC91BD" w14:textId="77777777" w:rsidR="00E27911" w:rsidRDefault="00E27911" w:rsidP="00E27911">
      <w:pPr>
        <w:pStyle w:val="HalbeLeerzeile"/>
        <w:spacing w:after="43"/>
      </w:pPr>
    </w:p>
    <w:p w14:paraId="1CCFAFEB" w14:textId="77777777" w:rsidR="00E27911" w:rsidRDefault="00E27911" w:rsidP="00E27911">
      <w:pPr>
        <w:pStyle w:val="Kleindruck"/>
        <w:ind w:firstLine="0"/>
        <w:rPr>
          <w:b/>
        </w:rPr>
      </w:pPr>
      <w:r>
        <w:rPr>
          <w:b/>
        </w:rPr>
        <w:t>§ 5 Vertretung der Gesellschaft</w:t>
      </w:r>
    </w:p>
    <w:p w14:paraId="669C7CF2" w14:textId="77777777" w:rsidR="00E27911" w:rsidRDefault="00E27911" w:rsidP="00E27911">
      <w:pPr>
        <w:pStyle w:val="Kleindruck"/>
        <w:tabs>
          <w:tab w:val="right" w:pos="120"/>
        </w:tabs>
        <w:ind w:left="177" w:hanging="177"/>
      </w:pPr>
      <w:r>
        <w:tab/>
        <w:t>1.</w:t>
      </w:r>
      <w:r>
        <w:tab/>
        <w:t>Die Gesellschaft hat einen oder mehrere Geschäftsführer.</w:t>
      </w:r>
    </w:p>
    <w:p w14:paraId="1C72410F" w14:textId="77777777" w:rsidR="00E27911" w:rsidRDefault="00E27911" w:rsidP="00E27911">
      <w:pPr>
        <w:pStyle w:val="Kleindruck"/>
        <w:tabs>
          <w:tab w:val="right" w:pos="120"/>
        </w:tabs>
        <w:ind w:left="177" w:hanging="177"/>
      </w:pPr>
      <w:r>
        <w:tab/>
        <w:t>2.</w:t>
      </w:r>
      <w:r>
        <w:tab/>
        <w:t>Sofern nur ein Geschäftsführer bestellt ist, wird die Gesellschaft von diesem alleine vertreten.</w:t>
      </w:r>
    </w:p>
    <w:p w14:paraId="66369A90" w14:textId="77777777" w:rsidR="00E27911" w:rsidRDefault="00E27911" w:rsidP="00E27911">
      <w:pPr>
        <w:pStyle w:val="Kleindruck"/>
        <w:tabs>
          <w:tab w:val="right" w:pos="120"/>
        </w:tabs>
        <w:ind w:left="177" w:hanging="177"/>
      </w:pPr>
      <w:r>
        <w:tab/>
        <w:t>3.</w:t>
      </w:r>
      <w:r>
        <w:tab/>
        <w:t>Sind mehrere Geschäftsführer bestellt, wird die Gesellschaft durch zwei Geschäftsführer gemeinsam oder durch einen Geschäftsführer gemeinsam mit einem Prokuristen vertreten.</w:t>
      </w:r>
    </w:p>
    <w:p w14:paraId="57D47667" w14:textId="77777777" w:rsidR="00E27911" w:rsidRDefault="00E27911" w:rsidP="00E27911">
      <w:pPr>
        <w:pStyle w:val="Kleindruck"/>
        <w:tabs>
          <w:tab w:val="right" w:pos="120"/>
        </w:tabs>
        <w:ind w:left="177" w:hanging="177"/>
      </w:pPr>
      <w:r>
        <w:tab/>
        <w:t>4.</w:t>
      </w:r>
      <w:r>
        <w:tab/>
        <w:t>Die Gesellschafterversammlung kann einzelnen Geschäftsführern und den Li-</w:t>
      </w:r>
      <w:r>
        <w:br/>
      </w:r>
      <w:proofErr w:type="spellStart"/>
      <w:r>
        <w:t>quidatoren</w:t>
      </w:r>
      <w:proofErr w:type="spellEnd"/>
      <w:r>
        <w:t xml:space="preserve"> Einzelvertretungsbefugnis und/oder Befreiung von den </w:t>
      </w:r>
      <w:proofErr w:type="spellStart"/>
      <w:r>
        <w:t>Beschränkun</w:t>
      </w:r>
      <w:proofErr w:type="spellEnd"/>
      <w:r>
        <w:t>-</w:t>
      </w:r>
      <w:r>
        <w:br/>
        <w:t>gen des § 181 BGB (Verbot des Selbstkontrahierens und der Doppelvertretung) erteilen.</w:t>
      </w:r>
    </w:p>
    <w:p w14:paraId="0CCF436F" w14:textId="77777777" w:rsidR="00E27911" w:rsidRDefault="00E27911" w:rsidP="00E27911">
      <w:pPr>
        <w:pStyle w:val="Kleindruck"/>
        <w:tabs>
          <w:tab w:val="right" w:pos="120"/>
        </w:tabs>
        <w:ind w:left="177" w:hanging="177"/>
      </w:pPr>
      <w:r>
        <w:tab/>
        <w:t>5.</w:t>
      </w:r>
      <w:r>
        <w:tab/>
        <w:t>Dem Gesellschafter A wird als gesellschaftsvertragliches Sonderrecht die alleinige Geschäftsführung und Vertretung der Gesellschaft auf Lebensdauer eingeräumt. Die Bestellung weiterer Geschäftsführer, denen nur Gesamtvertretungsbefugnis eingeräumt werden kann, bedarf seiner Zustimmung. A kann nur aus wichtigem Grund als Geschäftsführer abberufen werden.</w:t>
      </w:r>
    </w:p>
    <w:p w14:paraId="065AB007" w14:textId="77777777" w:rsidR="00E27911" w:rsidRDefault="00E27911" w:rsidP="00E27911">
      <w:pPr>
        <w:pStyle w:val="Kleindruck"/>
      </w:pPr>
      <w:r>
        <w:t>Nach dem Ableben von A gehen dieselben Befugnisse auf den Gesellschafter B auf dessen Lebensdauer über. Im Übrigen ist dieses Sonderrecht weder vererblich noch übertragbar und erlischt, wenn der Sonderrechtsgesellschafter aus der Gesellschaft ausscheidet.</w:t>
      </w:r>
    </w:p>
    <w:p w14:paraId="601FA095" w14:textId="77777777" w:rsidR="00E27911" w:rsidRDefault="00E27911" w:rsidP="00E27911">
      <w:pPr>
        <w:pStyle w:val="HalbeLeerzeile"/>
        <w:spacing w:after="43"/>
      </w:pPr>
    </w:p>
    <w:p w14:paraId="38605C21" w14:textId="77777777" w:rsidR="00E27911" w:rsidRDefault="00E27911" w:rsidP="00E27911">
      <w:pPr>
        <w:pStyle w:val="Kleindruck"/>
        <w:ind w:firstLine="0"/>
        <w:rPr>
          <w:b/>
        </w:rPr>
      </w:pPr>
      <w:r>
        <w:rPr>
          <w:b/>
        </w:rPr>
        <w:t>§ 6 Wettbewerbsverbot</w:t>
      </w:r>
    </w:p>
    <w:p w14:paraId="63BB3C52" w14:textId="77777777" w:rsidR="00E27911" w:rsidRDefault="00E27911" w:rsidP="00E27911">
      <w:pPr>
        <w:pStyle w:val="Kleindruck"/>
      </w:pPr>
      <w:r>
        <w:t>Die gegenwärtigen und künftigen Gesellschafter und Gesellschafter-Geschäftsführer werden von jeglichen gesetzlichen Wettbewerbsverboten generell befreit.</w:t>
      </w:r>
    </w:p>
    <w:p w14:paraId="210609EE" w14:textId="77777777" w:rsidR="00E27911" w:rsidRDefault="00E27911" w:rsidP="00E27911">
      <w:pPr>
        <w:pStyle w:val="HalbeLeerzeile"/>
        <w:spacing w:after="43"/>
      </w:pPr>
    </w:p>
    <w:p w14:paraId="7FB7B7C3" w14:textId="77777777" w:rsidR="00E27911" w:rsidRDefault="00E27911" w:rsidP="00E27911">
      <w:pPr>
        <w:pStyle w:val="Kleindruck"/>
        <w:ind w:firstLine="0"/>
        <w:rPr>
          <w:b/>
        </w:rPr>
      </w:pPr>
      <w:r>
        <w:rPr>
          <w:b/>
        </w:rPr>
        <w:t>§ 7 Jahresabschluss</w:t>
      </w:r>
    </w:p>
    <w:p w14:paraId="4611BEE8" w14:textId="77777777" w:rsidR="00E27911" w:rsidRDefault="00E27911" w:rsidP="00E27911">
      <w:pPr>
        <w:pStyle w:val="Kleindruck"/>
        <w:tabs>
          <w:tab w:val="right" w:pos="120"/>
        </w:tabs>
        <w:ind w:left="177" w:hanging="177"/>
      </w:pPr>
      <w:r>
        <w:tab/>
        <w:t>1.</w:t>
      </w:r>
      <w:r>
        <w:tab/>
        <w:t>Die Geschäftsführung hat innerhalb der in § 264 HGB genannten Frist den Jahresabschluss aufzustellen und anschließend der Gesellschafterversammlung zur Beschlussfassung vorzulegen.</w:t>
      </w:r>
    </w:p>
    <w:p w14:paraId="31D5A8EB" w14:textId="77777777" w:rsidR="00E27911" w:rsidRDefault="00E27911" w:rsidP="00E27911">
      <w:pPr>
        <w:pStyle w:val="Kleindruck"/>
        <w:tabs>
          <w:tab w:val="right" w:pos="120"/>
        </w:tabs>
        <w:ind w:left="177" w:hanging="177"/>
      </w:pPr>
      <w:r>
        <w:tab/>
        <w:t>2.</w:t>
      </w:r>
      <w:r>
        <w:tab/>
        <w:t>Über die Verwendung des Jahresüberschusses entscheidet die Gesellschafterversammlung. Ein Anspruch auf Teil- oder Vollausschüttung besteht nur insoweit, als nicht die Gesellschafterversammlung einstimmig beschließt, Beträge in Gewinnrück</w:t>
      </w:r>
      <w:r>
        <w:softHyphen/>
        <w:t>lagen einzustellen oder als Gewinn vorzutragen.</w:t>
      </w:r>
    </w:p>
    <w:p w14:paraId="6CBE02A8" w14:textId="77777777" w:rsidR="00E27911" w:rsidRDefault="00E27911" w:rsidP="00E27911">
      <w:pPr>
        <w:pStyle w:val="Kleindruck"/>
        <w:tabs>
          <w:tab w:val="right" w:pos="120"/>
        </w:tabs>
        <w:ind w:left="177" w:hanging="177"/>
      </w:pPr>
      <w:r>
        <w:tab/>
        <w:t>3.</w:t>
      </w:r>
      <w:r>
        <w:tab/>
        <w:t>Der auszuschüttende Jahresüberschuss ist im Verhältnis der Geschäftsanteile unter den Gesellschaftern zu verteilen.</w:t>
      </w:r>
    </w:p>
    <w:p w14:paraId="5078C537" w14:textId="77777777" w:rsidR="00E27911" w:rsidRDefault="00E27911" w:rsidP="00E27911">
      <w:pPr>
        <w:pStyle w:val="Kleindruck"/>
        <w:tabs>
          <w:tab w:val="right" w:pos="120"/>
        </w:tabs>
        <w:ind w:left="177" w:hanging="177"/>
      </w:pPr>
      <w:r>
        <w:tab/>
        <w:t>4.</w:t>
      </w:r>
      <w:r>
        <w:tab/>
        <w:t>Vorabausschüttungen sind zulässig, wenn ein entsprechender Jahresüberschuss mit Sicherheit zu erwarten ist.</w:t>
      </w:r>
    </w:p>
    <w:p w14:paraId="4432B542" w14:textId="77777777" w:rsidR="00E27911" w:rsidRDefault="00E27911" w:rsidP="00E27911">
      <w:pPr>
        <w:pStyle w:val="Kleindruck"/>
        <w:ind w:firstLine="0"/>
        <w:rPr>
          <w:b/>
        </w:rPr>
      </w:pPr>
      <w:r>
        <w:rPr>
          <w:b/>
        </w:rPr>
        <w:t>§ 8 Gesellschafterversammlung</w:t>
      </w:r>
    </w:p>
    <w:p w14:paraId="68607C7E" w14:textId="77777777" w:rsidR="00E27911" w:rsidRDefault="00E27911" w:rsidP="00E27911">
      <w:pPr>
        <w:pStyle w:val="Kleindruck"/>
        <w:tabs>
          <w:tab w:val="right" w:pos="120"/>
        </w:tabs>
        <w:ind w:left="177" w:hanging="177"/>
      </w:pPr>
      <w:r>
        <w:tab/>
        <w:t>1.</w:t>
      </w:r>
      <w:r>
        <w:tab/>
        <w:t>Die Einberufung der Gesellschafterversammlung erfolgt durch die Geschäftsführung mittels Einschreibebriefs an jeden Gesellschafter unter Angabe der Tagesordnung mit einer Ladungsfrist von 14 Tagen. Der Lauf der Frist beginnt mit dem der Aufgabe zur Post folgenden Tag. Der Tag der Versammlung wird bei der Berechnung der Frist nicht mitgezählt.</w:t>
      </w:r>
    </w:p>
    <w:p w14:paraId="5894CD9B" w14:textId="77777777" w:rsidR="00E27911" w:rsidRDefault="00E27911" w:rsidP="00E27911">
      <w:pPr>
        <w:pStyle w:val="Kleindruck"/>
        <w:tabs>
          <w:tab w:val="right" w:pos="120"/>
        </w:tabs>
        <w:ind w:left="177" w:hanging="177"/>
      </w:pPr>
      <w:r>
        <w:tab/>
        <w:t>2.</w:t>
      </w:r>
      <w:r>
        <w:tab/>
        <w:t>Eine Gesellschafterversammlung ist nur beschlussfähig, wenn mindestens 75</w:t>
      </w:r>
      <w:r>
        <w:rPr>
          <w:sz w:val="8"/>
        </w:rPr>
        <w:t xml:space="preserve"> </w:t>
      </w:r>
      <w:r>
        <w:t>% des Stammkapitals vertreten sind. Wenn weniger als 75</w:t>
      </w:r>
      <w:r>
        <w:rPr>
          <w:sz w:val="8"/>
        </w:rPr>
        <w:t xml:space="preserve"> </w:t>
      </w:r>
      <w:r>
        <w:t>% des Stammkapitals vertreten sind, ist unter Beachtung der vorstehenden Ladungsvorschriften nach der ersten Versammlung eine neue Gesellschafterversammlung einzuberufen, die ohne Rücksicht auf das vertretene Stammkapital beschlussfähig ist. Hierauf ist in der Einberufung hinzuweisen.</w:t>
      </w:r>
    </w:p>
    <w:p w14:paraId="5FA0995C" w14:textId="77777777" w:rsidR="00E27911" w:rsidRDefault="00E27911" w:rsidP="00E27911">
      <w:pPr>
        <w:pStyle w:val="Kleindruck"/>
        <w:tabs>
          <w:tab w:val="right" w:pos="120"/>
        </w:tabs>
        <w:ind w:left="177" w:hanging="177"/>
      </w:pPr>
      <w:r>
        <w:tab/>
        <w:t>3.</w:t>
      </w:r>
      <w:r>
        <w:tab/>
        <w:t>Die Gesellschafterbeschlüsse werden mit Mehrheit der abgegebenen Stimmen gefasst, soweit das Gesetz oder der Gesellschaftsvertrag nicht eine größere Mehrheit vorsehen. Je 1 EUR eines Geschäftsanteils gewährt eine Stimme. Stimmenthaltungen zählen als Nein-Stimmen.</w:t>
      </w:r>
    </w:p>
    <w:p w14:paraId="2F284766" w14:textId="77777777" w:rsidR="00E27911" w:rsidRDefault="00E27911" w:rsidP="00E27911">
      <w:pPr>
        <w:pStyle w:val="Kleindruck"/>
        <w:tabs>
          <w:tab w:val="right" w:pos="120"/>
        </w:tabs>
        <w:ind w:left="177" w:hanging="177"/>
      </w:pPr>
      <w:r>
        <w:tab/>
        <w:t>4.</w:t>
      </w:r>
      <w:r>
        <w:tab/>
        <w:t>Gesellschafterbeschlüsse können außerhalb von Gesellschafterversammlungen gefasst werden, wenn keine zwingenden Formvorschriften bestehen und sämtliche Gesellschafter mit der mündlichen, telefonischen, elektronischen oder schriftlichen Abstimmung einverstanden sind.</w:t>
      </w:r>
    </w:p>
    <w:p w14:paraId="3747D9E4" w14:textId="77777777" w:rsidR="00E27911" w:rsidRDefault="00E27911" w:rsidP="00E27911">
      <w:pPr>
        <w:pStyle w:val="HalbeLeerzeile"/>
      </w:pPr>
    </w:p>
    <w:p w14:paraId="5A7EBE64" w14:textId="77777777" w:rsidR="00E27911" w:rsidRDefault="00E27911" w:rsidP="00E27911">
      <w:pPr>
        <w:pStyle w:val="Kleindruck"/>
        <w:ind w:firstLine="0"/>
        <w:rPr>
          <w:b/>
        </w:rPr>
      </w:pPr>
      <w:r>
        <w:rPr>
          <w:b/>
        </w:rPr>
        <w:t>§ 9 Abtretung und Verpfändung</w:t>
      </w:r>
    </w:p>
    <w:p w14:paraId="4B5AF5DE" w14:textId="77777777" w:rsidR="00E27911" w:rsidRDefault="00E27911" w:rsidP="00E27911">
      <w:pPr>
        <w:pStyle w:val="Kleindruck"/>
      </w:pPr>
      <w:r>
        <w:t xml:space="preserve">Zur Verfügung über Geschäftsanteile, insb. zur Veräußerung und Verpfändung von Geschäftsanteilen sowie Teilen von Geschäftsanteilen, ist die Genehmigung aller Gesellschafter erforderlich. Ohne Zustimmung kann ein </w:t>
      </w:r>
      <w:proofErr w:type="spellStart"/>
      <w:r>
        <w:t>Nießbrauchsrecht</w:t>
      </w:r>
      <w:proofErr w:type="spellEnd"/>
      <w:r>
        <w:t xml:space="preserve"> an einem Gesellschaftsanteil zugunsten eines Ehegatten oder von Abkömmlingen bestellt werden.</w:t>
      </w:r>
    </w:p>
    <w:p w14:paraId="7B9722EE" w14:textId="77777777" w:rsidR="00E27911" w:rsidRDefault="00E27911" w:rsidP="00E27911">
      <w:pPr>
        <w:pStyle w:val="HalbeLeerzeile"/>
        <w:spacing w:after="21"/>
      </w:pPr>
    </w:p>
    <w:p w14:paraId="70240A21" w14:textId="77777777" w:rsidR="00E27911" w:rsidRDefault="00E27911" w:rsidP="00E27911">
      <w:pPr>
        <w:pStyle w:val="Kleindruck"/>
        <w:ind w:firstLine="0"/>
        <w:rPr>
          <w:b/>
        </w:rPr>
      </w:pPr>
      <w:r>
        <w:rPr>
          <w:b/>
        </w:rPr>
        <w:t>§ 10 Einziehung von Geschäftsanteilen</w:t>
      </w:r>
    </w:p>
    <w:p w14:paraId="31A595FD" w14:textId="77777777" w:rsidR="00E27911" w:rsidRDefault="00E27911" w:rsidP="00E27911">
      <w:pPr>
        <w:pStyle w:val="Kleindruck"/>
        <w:tabs>
          <w:tab w:val="right" w:pos="120"/>
        </w:tabs>
        <w:ind w:left="177" w:hanging="177"/>
      </w:pPr>
      <w:r>
        <w:tab/>
        <w:t>1.</w:t>
      </w:r>
      <w:r>
        <w:tab/>
        <w:t>Die Einziehung eines Geschäftsanteils kann ohne Zustimmung des betreffenden Gesellschafters auf Beschluss der Gesellschafterversammlung erfolgen</w:t>
      </w:r>
    </w:p>
    <w:p w14:paraId="3877EA72" w14:textId="77777777" w:rsidR="00E27911" w:rsidRDefault="00E27911" w:rsidP="00E27911">
      <w:pPr>
        <w:pStyle w:val="Kleindruck"/>
        <w:tabs>
          <w:tab w:val="right" w:pos="262"/>
        </w:tabs>
        <w:ind w:left="319" w:hanging="319"/>
      </w:pPr>
      <w:r>
        <w:tab/>
        <w:t>–</w:t>
      </w:r>
      <w:r>
        <w:tab/>
        <w:t>bei Zwangsvollstreckung in den Geschäftsanteil des Gesellschafters, wenn die Zwangsvollstreckungsmaßnahme nicht innerhalb von drei Monaten seit Beginn der Zwangsvollstreckung aufgehoben wird,</w:t>
      </w:r>
    </w:p>
    <w:p w14:paraId="6B69E197" w14:textId="77777777" w:rsidR="00E27911" w:rsidRDefault="00E27911" w:rsidP="00E27911">
      <w:pPr>
        <w:pStyle w:val="Kleindruck"/>
        <w:tabs>
          <w:tab w:val="right" w:pos="262"/>
        </w:tabs>
        <w:ind w:left="319" w:hanging="319"/>
      </w:pPr>
      <w:r>
        <w:tab/>
        <w:t>–</w:t>
      </w:r>
      <w:r>
        <w:tab/>
        <w:t>bei berechtigter Einleitung eines Insolvenzverfahrens über das Vermögen des Gesellschafters,</w:t>
      </w:r>
    </w:p>
    <w:p w14:paraId="58005750" w14:textId="77777777" w:rsidR="00E27911" w:rsidRDefault="00E27911" w:rsidP="00E27911">
      <w:pPr>
        <w:pStyle w:val="Kleindruck"/>
        <w:tabs>
          <w:tab w:val="right" w:pos="262"/>
        </w:tabs>
        <w:ind w:left="319" w:hanging="319"/>
      </w:pPr>
      <w:r>
        <w:lastRenderedPageBreak/>
        <w:tab/>
        <w:t>–</w:t>
      </w:r>
      <w:r>
        <w:tab/>
        <w:t xml:space="preserve">zum Zwecke des Ausschlusses des Gesellschafters, wenn in dessen Person ein wichtiger Grund vorliegt, </w:t>
      </w:r>
      <w:proofErr w:type="spellStart"/>
      <w:r>
        <w:t>dh</w:t>
      </w:r>
      <w:proofErr w:type="spellEnd"/>
      <w:r>
        <w:t xml:space="preserve"> wenn der Gesellschafter durch sein Verhalten die Gesellschaftsinteressen schädigt oder wenn aufgrund seines Verhaltens den übrigen Gesellschaftern die Fortsetzung der Gesellschaft nicht mehr zugemutet werden kann, oder</w:t>
      </w:r>
    </w:p>
    <w:p w14:paraId="202282D6" w14:textId="77777777" w:rsidR="00E27911" w:rsidRDefault="00E27911" w:rsidP="00E27911">
      <w:pPr>
        <w:pStyle w:val="Kleindruck"/>
        <w:tabs>
          <w:tab w:val="right" w:pos="262"/>
        </w:tabs>
        <w:ind w:left="319" w:hanging="319"/>
      </w:pPr>
      <w:r>
        <w:tab/>
        <w:t>–</w:t>
      </w:r>
      <w:r>
        <w:tab/>
        <w:t>wenn beim Versterben eines Gesellschafters dessen Gesellschaftsanteil auf andere Personen als den Ehegatten, die Abkömmlinge und/oder Mitgesellschafter übergeht und der Anteil nicht innerhalb eines halben Jahres seit Aufforderung durch die Gesellschaft auf die genannten Personen übertragen wird.</w:t>
      </w:r>
    </w:p>
    <w:p w14:paraId="67021F5C" w14:textId="77777777" w:rsidR="00E27911" w:rsidRDefault="00E27911" w:rsidP="00E27911">
      <w:pPr>
        <w:pStyle w:val="Kleindruck"/>
        <w:tabs>
          <w:tab w:val="right" w:pos="120"/>
        </w:tabs>
        <w:ind w:left="177" w:hanging="177"/>
      </w:pPr>
      <w:r>
        <w:tab/>
        <w:t>2.</w:t>
      </w:r>
      <w:r>
        <w:tab/>
        <w:t>Statt der Einziehung des Geschäftsanteils kann die Gesellschafterversammlung beschließen, dass der Geschäftsanteil auf die Gesellschaft oder auf eine von der Gesellschafterversammlung benannte dritte Person übertragen wird. Die Geschäftsführung in vertretungsberechtigter Zahl wird hiermit unwiderruflich ermächtigt und bevollmächtigt, alle zum Vollzug des Beschlusses erforderlichen Erklärungen im Namen des ausscheidenden Gesellschafters vorzunehmen.</w:t>
      </w:r>
    </w:p>
    <w:p w14:paraId="577A0189" w14:textId="77777777" w:rsidR="00E27911" w:rsidRDefault="00E27911" w:rsidP="00E27911">
      <w:pPr>
        <w:pStyle w:val="Kleindruck"/>
        <w:tabs>
          <w:tab w:val="right" w:pos="120"/>
        </w:tabs>
        <w:ind w:left="177" w:hanging="177"/>
      </w:pPr>
      <w:r>
        <w:tab/>
        <w:t>3.</w:t>
      </w:r>
      <w:r>
        <w:tab/>
        <w:t>Der betroffene Gesellschafter hat bei den Beschlüssen nach vorstehenden Ziffern 1. und 2. kein Stimmrecht. Mit Beschlussfassung ruhen alle Gesellschafterrechte des betroffenen Gesellschafters. Der Einziehungsbeschluss kann nur innerhalb von 6 Monaten ab Kenntnis der Gesellschaft vom Vorliegen eines Einziehungsgrundes gefasst werden.</w:t>
      </w:r>
    </w:p>
    <w:p w14:paraId="7E99BAEF" w14:textId="77777777" w:rsidR="00E27911" w:rsidRDefault="00E27911" w:rsidP="00E27911">
      <w:pPr>
        <w:pStyle w:val="Kleindruck"/>
        <w:tabs>
          <w:tab w:val="right" w:pos="120"/>
        </w:tabs>
        <w:ind w:left="177" w:hanging="177"/>
      </w:pPr>
      <w:r>
        <w:tab/>
        <w:t>4.</w:t>
      </w:r>
      <w:r>
        <w:tab/>
        <w:t>Der betroffene Gesellschafter erhält eine Abfindung in Höhe von 60</w:t>
      </w:r>
      <w:r>
        <w:rPr>
          <w:sz w:val="8"/>
        </w:rPr>
        <w:t xml:space="preserve"> </w:t>
      </w:r>
      <w:r>
        <w:t>% – sechzig vom Hundert – des Abfindungsguthabens gem. § 11 Abs. 1 dieses Vertrages. Für die Berechnung und Auszahlung des Abfindungsguthabens gilt diese Bestimmung ebenfalls entsprechend. Für den Fall der Unwirksamkeit der vorstehenden Abfindungsbeschränkung oder dessen Anpassung ist die niedrigste im konkreten Einzelfall noch zumutbare Abfindung geschuldet.</w:t>
      </w:r>
    </w:p>
    <w:p w14:paraId="6AA55EAE" w14:textId="77777777" w:rsidR="00E27911" w:rsidRDefault="00E27911" w:rsidP="00E27911">
      <w:pPr>
        <w:pStyle w:val="HalbeLeerzeile"/>
      </w:pPr>
    </w:p>
    <w:p w14:paraId="652E1CCA" w14:textId="77777777" w:rsidR="00E27911" w:rsidRDefault="00E27911" w:rsidP="00E27911">
      <w:pPr>
        <w:pStyle w:val="Kleindruck"/>
        <w:ind w:firstLine="0"/>
        <w:rPr>
          <w:b/>
        </w:rPr>
      </w:pPr>
      <w:r>
        <w:rPr>
          <w:b/>
        </w:rPr>
        <w:t>§ 11 Ermittlung des Abfindungsguthabens</w:t>
      </w:r>
    </w:p>
    <w:p w14:paraId="35135A95" w14:textId="77777777" w:rsidR="00E27911" w:rsidRDefault="00E27911" w:rsidP="00E27911">
      <w:pPr>
        <w:pStyle w:val="Kleindruck"/>
        <w:tabs>
          <w:tab w:val="right" w:pos="120"/>
        </w:tabs>
        <w:ind w:left="177" w:hanging="177"/>
      </w:pPr>
      <w:r>
        <w:tab/>
        <w:t>1.</w:t>
      </w:r>
      <w:r>
        <w:tab/>
        <w:t>Die Ermittlung des Werts eines Geschäftsanteils erfolgt nach dem von der Finanzverwaltung angewendeten Verfahren gem. § 12 ErbStG iVm §§ 199</w:t>
      </w:r>
      <w:r>
        <w:rPr>
          <w:sz w:val="8"/>
        </w:rPr>
        <w:t xml:space="preserve"> </w:t>
      </w:r>
      <w:r>
        <w:t>ff. BewG, wobei als Bewertungszeitpunkt der mit dem Ausscheiden zusammenfallende Bilanzstichtag, andernfalls der vorausgehende Bilanzstichtag, maßgebend ist.</w:t>
      </w:r>
    </w:p>
    <w:p w14:paraId="4286E0DE" w14:textId="77777777" w:rsidR="00E27911" w:rsidRDefault="00E27911" w:rsidP="00E27911">
      <w:pPr>
        <w:pStyle w:val="Kleindruck"/>
        <w:tabs>
          <w:tab w:val="right" w:pos="120"/>
        </w:tabs>
        <w:ind w:left="177" w:hanging="177"/>
      </w:pPr>
      <w:r>
        <w:tab/>
        <w:t>2.</w:t>
      </w:r>
      <w:r>
        <w:tab/>
        <w:t>Zur Erhaltung des Vermögens der Gesellschaft als Familiengut werden nur 60</w:t>
      </w:r>
      <w:r>
        <w:rPr>
          <w:sz w:val="8"/>
        </w:rPr>
        <w:t xml:space="preserve"> </w:t>
      </w:r>
      <w:r>
        <w:t>% des gem. Abs. 1. ermittelten Werts des Geschäftsanteils als Abfindung vergütet. Für den Fall der Unwirksamkeit der vorstehenden Abfindungsbeschränkung oder dessen Anpassung ist die niedrigste im konkreten Einzelfall noch zumutbare Abfindung geschuldet.</w:t>
      </w:r>
    </w:p>
    <w:p w14:paraId="4B6D7D37" w14:textId="77777777" w:rsidR="00E27911" w:rsidRDefault="00E27911" w:rsidP="00E27911">
      <w:pPr>
        <w:pStyle w:val="Kleindruck"/>
        <w:tabs>
          <w:tab w:val="right" w:pos="120"/>
        </w:tabs>
        <w:ind w:left="177" w:hanging="177"/>
      </w:pPr>
      <w:r>
        <w:tab/>
        <w:t>3.</w:t>
      </w:r>
      <w:r>
        <w:tab/>
        <w:t>Das Abfindungsguthaben ist in drei gleichen, unmittelbar aufeinander folgenden Jahresraten auszuzahlen. Die erste Rate ist ein Jahr nach dem Ausscheidungsstichtag zur Zahlung fällig. Ab dem Ausscheiden ist das Abfindungsguthaben mit dem Basiszinssatz gem. § 247 BGB zu verzinsen. Die Zinsen sind jeweils mit den Jahresraten zu entrichten. Sicherheitsleistung kann nicht verlangt werden.</w:t>
      </w:r>
    </w:p>
    <w:p w14:paraId="42697548" w14:textId="77777777" w:rsidR="00E27911" w:rsidRDefault="00E27911" w:rsidP="00E27911">
      <w:pPr>
        <w:pStyle w:val="Kleindruck"/>
        <w:tabs>
          <w:tab w:val="right" w:pos="120"/>
        </w:tabs>
        <w:ind w:left="177" w:hanging="177"/>
      </w:pPr>
      <w:r>
        <w:tab/>
        <w:t>4.</w:t>
      </w:r>
      <w:r>
        <w:tab/>
        <w:t>Die Höhe des zu leistenden Abfindungsguthabens wird durch den im Zeitpunkt des Ausscheidens des betreffenden Gesellschafters für die Gesellschaft tätigen Steuerberater als Schiedsgutachter ermittelt.</w:t>
      </w:r>
    </w:p>
    <w:p w14:paraId="62C51DE0" w14:textId="77777777" w:rsidR="00E27911" w:rsidRDefault="00E27911" w:rsidP="00E27911">
      <w:pPr>
        <w:pStyle w:val="Kleindruck"/>
        <w:tabs>
          <w:tab w:val="right" w:pos="120"/>
        </w:tabs>
        <w:ind w:left="177" w:hanging="177"/>
      </w:pPr>
      <w:r>
        <w:tab/>
        <w:t>5.</w:t>
      </w:r>
      <w:r>
        <w:tab/>
        <w:t>Änderungen der Bilanzen, die sich nach dem Ausscheiden des betreffenden Gesellschafters, insb. aufgrund einer Buch- oder Betriebsprüfung, ergeben, bleiben ohne Einfluss auf die Höhe des Abfindungsguthabens.</w:t>
      </w:r>
    </w:p>
    <w:p w14:paraId="3F180898" w14:textId="77777777" w:rsidR="00E27911" w:rsidRDefault="00E27911" w:rsidP="00E27911">
      <w:pPr>
        <w:pStyle w:val="HalbeLeerzeile"/>
      </w:pPr>
    </w:p>
    <w:p w14:paraId="180E907A" w14:textId="77777777" w:rsidR="00E27911" w:rsidRDefault="00E27911" w:rsidP="00E27911">
      <w:pPr>
        <w:pStyle w:val="Kleindruck"/>
        <w:ind w:firstLine="0"/>
        <w:rPr>
          <w:b/>
        </w:rPr>
      </w:pPr>
      <w:r>
        <w:rPr>
          <w:b/>
        </w:rPr>
        <w:t>§ 12 Bekanntmachungen</w:t>
      </w:r>
    </w:p>
    <w:p w14:paraId="01C96952" w14:textId="77777777" w:rsidR="00E27911" w:rsidRDefault="00E27911" w:rsidP="00E27911">
      <w:pPr>
        <w:pStyle w:val="Kleindruck"/>
      </w:pPr>
      <w:r>
        <w:t>Sämtliche Bekanntmachungen der Gesellschaft erfolgen nur im elektronischen Bundesanzeiger.</w:t>
      </w:r>
    </w:p>
    <w:p w14:paraId="26DA2FD4" w14:textId="77777777" w:rsidR="00E27911" w:rsidRDefault="00E27911" w:rsidP="00E27911">
      <w:pPr>
        <w:pStyle w:val="HalbeLeerzeile"/>
      </w:pPr>
    </w:p>
    <w:p w14:paraId="1B69A4F9" w14:textId="77777777" w:rsidR="00E27911" w:rsidRDefault="00E27911" w:rsidP="00E27911">
      <w:pPr>
        <w:pStyle w:val="Kleindruck"/>
        <w:ind w:firstLine="0"/>
        <w:rPr>
          <w:b/>
        </w:rPr>
      </w:pPr>
      <w:r>
        <w:rPr>
          <w:b/>
        </w:rPr>
        <w:t>§ 13 Schlussbestimmungen</w:t>
      </w:r>
    </w:p>
    <w:p w14:paraId="3EEA9D7A" w14:textId="77777777" w:rsidR="00E27911" w:rsidRDefault="00E27911" w:rsidP="00E27911">
      <w:pPr>
        <w:pStyle w:val="Kleindruck"/>
        <w:tabs>
          <w:tab w:val="right" w:pos="120"/>
        </w:tabs>
        <w:ind w:left="177" w:hanging="177"/>
      </w:pPr>
      <w:r>
        <w:tab/>
        <w:t>1.</w:t>
      </w:r>
      <w:r>
        <w:tab/>
        <w:t>Soweit in diesem Gesellschaftsvertrag keine besondere Regelung erfolgt ist, gelten die gesetzlichen Bestimmungen.</w:t>
      </w:r>
    </w:p>
    <w:p w14:paraId="49A833ED" w14:textId="77777777" w:rsidR="00E27911" w:rsidRDefault="00E27911" w:rsidP="00E27911">
      <w:pPr>
        <w:pStyle w:val="Kleindruck"/>
        <w:tabs>
          <w:tab w:val="right" w:pos="120"/>
        </w:tabs>
        <w:ind w:left="177" w:hanging="177"/>
      </w:pPr>
      <w:r>
        <w:tab/>
        <w:t>2.</w:t>
      </w:r>
      <w:r>
        <w:tab/>
        <w:t>Die etwaige Nichtigkeit einzelner Bestimmungen berührt nicht die Wirksamkeit des Gesellschaftsvertrags im Übrigen. Die Gesellschafter sind verpflichtet, an Stelle der unwirksamen Bestimmungen eine dem Vertragsgedanken entsprechende Neuregelung zu treffen. Sofern eine Neuregelung auch nach Anrufung des Schiedsgerichts nicht erfolgt, gelten die für die entsprechende Regelungslücke bestehenden gesetzlichen Bestimmungen.</w:t>
      </w:r>
    </w:p>
    <w:p w14:paraId="54DCE66F" w14:textId="77777777" w:rsidR="00E27911" w:rsidRDefault="00E27911" w:rsidP="00E27911">
      <w:pPr>
        <w:pStyle w:val="Kleindruck"/>
        <w:tabs>
          <w:tab w:val="right" w:pos="120"/>
        </w:tabs>
        <w:ind w:left="177" w:hanging="177"/>
      </w:pPr>
      <w:r>
        <w:tab/>
        <w:t>3.</w:t>
      </w:r>
      <w:r>
        <w:tab/>
        <w:t>Die Gesellschaft übernimmt die Gründungskosten (Notar- und Registergerichtsgebühren, Kosten der Veröffentlichung und die Kosten der Gründungsberatung) bis zur Höhe von 2.500 EUR.</w:t>
      </w:r>
    </w:p>
    <w:p w14:paraId="2FC5D702" w14:textId="77777777" w:rsidR="00121A4E" w:rsidRDefault="00121A4E" w:rsidP="00E27911">
      <w:pPr>
        <w:spacing w:after="64" w:line="192" w:lineRule="exact"/>
        <w:jc w:val="both"/>
      </w:pPr>
    </w:p>
    <w:sectPr w:rsidR="00121A4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embo Std">
    <w:altName w:val="Cambria"/>
    <w:panose1 w:val="00000000000000000000"/>
    <w:charset w:val="00"/>
    <w:family w:val="roman"/>
    <w:notTrueType/>
    <w:pitch w:val="variable"/>
    <w:sig w:usb0="800000AF" w:usb1="5000205B"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019E"/>
    <w:rsid w:val="00057F46"/>
    <w:rsid w:val="00121A4E"/>
    <w:rsid w:val="003F339F"/>
    <w:rsid w:val="00400043"/>
    <w:rsid w:val="006F5909"/>
    <w:rsid w:val="009D019E"/>
    <w:rsid w:val="00D43994"/>
    <w:rsid w:val="00E27911"/>
    <w:rsid w:val="00E477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5D6C8"/>
  <w15:chartTrackingRefBased/>
  <w15:docId w15:val="{8E41F367-5AF0-48D6-B9B5-2699ED0A3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leindruck">
    <w:name w:val="Kleindruck"/>
    <w:basedOn w:val="Standard"/>
    <w:link w:val="KleindruckZchn"/>
    <w:uiPriority w:val="99"/>
    <w:rsid w:val="00E27911"/>
    <w:pPr>
      <w:spacing w:after="0" w:line="192" w:lineRule="exact"/>
      <w:ind w:firstLine="170"/>
      <w:jc w:val="both"/>
    </w:pPr>
    <w:rPr>
      <w:rFonts w:ascii="Bembo Std" w:eastAsia="Batang" w:hAnsi="Bembo Std" w:cs="Times New Roman"/>
      <w:kern w:val="8"/>
      <w:sz w:val="17"/>
      <w:szCs w:val="16"/>
    </w:rPr>
  </w:style>
  <w:style w:type="character" w:customStyle="1" w:styleId="KleindruckZchn">
    <w:name w:val="Kleindruck Zchn"/>
    <w:link w:val="Kleindruck"/>
    <w:uiPriority w:val="99"/>
    <w:locked/>
    <w:rsid w:val="00E27911"/>
    <w:rPr>
      <w:rFonts w:ascii="Bembo Std" w:eastAsia="Batang" w:hAnsi="Bembo Std" w:cs="Times New Roman"/>
      <w:kern w:val="8"/>
      <w:sz w:val="17"/>
      <w:szCs w:val="16"/>
    </w:rPr>
  </w:style>
  <w:style w:type="paragraph" w:customStyle="1" w:styleId="HalbeLeerzeile">
    <w:name w:val="HalbeLeerzeile"/>
    <w:basedOn w:val="Standard"/>
    <w:uiPriority w:val="99"/>
    <w:rsid w:val="00E27911"/>
    <w:pPr>
      <w:spacing w:after="0" w:line="106" w:lineRule="exact"/>
      <w:ind w:firstLine="193"/>
      <w:jc w:val="both"/>
    </w:pPr>
    <w:rPr>
      <w:rFonts w:ascii="Bembo Std" w:eastAsia="Batang" w:hAnsi="Bembo Std" w:cs="Times New Roman"/>
      <w:kern w:val="8"/>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B5EA5E0428AB74F855BDC8EC87D125F" ma:contentTypeVersion="18" ma:contentTypeDescription="Ein neues Dokument erstellen." ma:contentTypeScope="" ma:versionID="374fa9f091d89cc9a9bcdeb72080057e">
  <xsd:schema xmlns:xsd="http://www.w3.org/2001/XMLSchema" xmlns:xs="http://www.w3.org/2001/XMLSchema" xmlns:p="http://schemas.microsoft.com/office/2006/metadata/properties" xmlns:ns1="http://schemas.microsoft.com/sharepoint/v3" xmlns:ns2="442a1700-e262-4196-8f7e-2537a098c381" xmlns:ns3="e8757911-d5df-45dd-bc9c-7bc3b6bc4540" targetNamespace="http://schemas.microsoft.com/office/2006/metadata/properties" ma:root="true" ma:fieldsID="4fa35e106d2430969fd46d1aca25eb1f" ns1:_="" ns2:_="" ns3:_="">
    <xsd:import namespace="http://schemas.microsoft.com/sharepoint/v3"/>
    <xsd:import namespace="442a1700-e262-4196-8f7e-2537a098c381"/>
    <xsd:import namespace="e8757911-d5df-45dd-bc9c-7bc3b6bc4540"/>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Eigenschaften der einheitlichen Compliancerichtlinie" ma:hidden="true" ma:internalName="_ip_UnifiedCompliancePolicyProperties">
      <xsd:simpleType>
        <xsd:restriction base="dms:Note"/>
      </xsd:simpleType>
    </xsd:element>
    <xsd:element name="_ip_UnifiedCompliancePolicyUIAction" ma:index="23"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2a1700-e262-4196-8f7e-2537a098c381"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f2c7fdfd-6704-48d8-bc91-4360488b93e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757911-d5df-45dd-bc9c-7bc3b6bc4540"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33352369-0042-4d0a-a7a8-2ed52b3ae11a}" ma:internalName="TaxCatchAll" ma:showField="CatchAllData" ma:web="e8757911-d5df-45dd-bc9c-7bc3b6bc454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8757911-d5df-45dd-bc9c-7bc3b6bc4540" xsi:nil="true"/>
    <lcf76f155ced4ddcb4097134ff3c332f xmlns="442a1700-e262-4196-8f7e-2537a098c381">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013B60-4F8C-4E18-9C20-D473929ED8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42a1700-e262-4196-8f7e-2537a098c381"/>
    <ds:schemaRef ds:uri="e8757911-d5df-45dd-bc9c-7bc3b6bc45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30270A-4565-49BA-A395-913D01318556}">
  <ds:schemaRefs>
    <ds:schemaRef ds:uri="http://schemas.microsoft.com/office/2006/metadata/properties"/>
    <ds:schemaRef ds:uri="http://schemas.microsoft.com/office/infopath/2007/PartnerControls"/>
    <ds:schemaRef ds:uri="e8757911-d5df-45dd-bc9c-7bc3b6bc4540"/>
    <ds:schemaRef ds:uri="442a1700-e262-4196-8f7e-2537a098c381"/>
    <ds:schemaRef ds:uri="http://schemas.microsoft.com/sharepoint/v3"/>
  </ds:schemaRefs>
</ds:datastoreItem>
</file>

<file path=customXml/itemProps3.xml><?xml version="1.0" encoding="utf-8"?>
<ds:datastoreItem xmlns:ds="http://schemas.openxmlformats.org/officeDocument/2006/customXml" ds:itemID="{30094E23-A9FF-4330-BB3B-F87D65E61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1272</Words>
  <Characters>8017</Characters>
  <Application>Microsoft Office Word</Application>
  <DocSecurity>0</DocSecurity>
  <Lines>66</Lines>
  <Paragraphs>18</Paragraphs>
  <ScaleCrop>false</ScaleCrop>
  <Company>Verlag C.H.Beck oHG</Company>
  <LinksUpToDate>false</LinksUpToDate>
  <CharactersWithSpaces>9271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Schmidt, Julian</dc:creator>
  <cp:keywords/>
  <dc:description/>
  <cp:lastModifiedBy>Schmidt, Julian</cp:lastModifiedBy>
  <cp:revision>3</cp:revision>
  <dcterms:created xsi:type="dcterms:W3CDTF">2019-11-25T12:29:00Z</dcterms:created>
  <dcterms:modified xsi:type="dcterms:W3CDTF">2026-04-24T11:44:00Z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0x0101003B5EA5E0428AB74F855BDC8EC87D125F</vt:lpwstr>
  </property>
  <property fmtid="{D5CDD505-2E9C-101B-9397-08002B2CF9AE}" pid="3" name="MediaServiceImageTags">
    <vt:lpwstr/>
  </property>
</Properties>
</file>